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96C" w:rsidRDefault="0015696C" w:rsidP="0015696C">
      <w:pPr>
        <w:jc w:val="center"/>
        <w:rPr>
          <w:b/>
          <w:bCs/>
        </w:rPr>
      </w:pPr>
      <w:r>
        <w:rPr>
          <w:b/>
          <w:bCs/>
        </w:rPr>
        <w:t>OBRAZAC 20. Evidencija o provedbi Mjere 10, operacija 10.1.15.</w:t>
      </w:r>
      <w:r>
        <w:br/>
      </w:r>
      <w:r>
        <w:rPr>
          <w:b/>
          <w:bCs/>
        </w:rPr>
        <w:t>Primjena ekoloških gnojiva u višegodišnjim nasadima</w:t>
      </w:r>
    </w:p>
    <w:p w:rsidR="0015696C" w:rsidRDefault="0015696C" w:rsidP="0015696C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p w:rsidR="0015696C" w:rsidRDefault="0015696C" w:rsidP="0015696C">
      <w:pPr>
        <w:jc w:val="center"/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15696C" w:rsidTr="0015696C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EVIDENCIJA O PROVEDBI OBVEZA ZA OPERACIJU 10.1.15. Primjena ekoloških gnojiva u višegodišnjim nasadima</w:t>
            </w:r>
          </w:p>
        </w:tc>
      </w:tr>
    </w:tbl>
    <w:p w:rsidR="0015696C" w:rsidRDefault="0015696C" w:rsidP="0015696C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1"/>
        <w:gridCol w:w="1250"/>
        <w:gridCol w:w="3010"/>
        <w:gridCol w:w="1739"/>
      </w:tblGrid>
      <w:tr w:rsidR="0015696C" w:rsidTr="0015696C">
        <w:trPr>
          <w:jc w:val="center"/>
        </w:trPr>
        <w:tc>
          <w:tcPr>
            <w:tcW w:w="105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DIO – OPĆI PODACI ZA OPERACIJU 10.1.15. Primjena ekoloških gnojiva u višegodišnjim nasadima</w:t>
            </w:r>
          </w:p>
        </w:tc>
      </w:tr>
      <w:tr w:rsidR="0015696C" w:rsidTr="0015696C">
        <w:trPr>
          <w:jc w:val="center"/>
        </w:trPr>
        <w:tc>
          <w:tcPr>
            <w:tcW w:w="4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5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</w:tr>
      <w:tr w:rsidR="0015696C" w:rsidTr="0015696C">
        <w:trPr>
          <w:jc w:val="center"/>
        </w:trPr>
        <w:tc>
          <w:tcPr>
            <w:tcW w:w="58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46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</w:t>
            </w:r>
          </w:p>
        </w:tc>
      </w:tr>
      <w:tr w:rsidR="0015696C" w:rsidTr="0015696C">
        <w:trPr>
          <w:jc w:val="center"/>
        </w:trPr>
        <w:tc>
          <w:tcPr>
            <w:tcW w:w="4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58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</w:tr>
      <w:tr w:rsidR="0015696C" w:rsidTr="0015696C">
        <w:trPr>
          <w:jc w:val="center"/>
        </w:trPr>
        <w:tc>
          <w:tcPr>
            <w:tcW w:w="4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1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2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</w:tr>
    </w:tbl>
    <w:p w:rsidR="0015696C" w:rsidRDefault="0015696C" w:rsidP="0015696C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"/>
        <w:gridCol w:w="1342"/>
        <w:gridCol w:w="1546"/>
        <w:gridCol w:w="2243"/>
        <w:gridCol w:w="5070"/>
      </w:tblGrid>
      <w:tr w:rsidR="0015696C" w:rsidTr="0015696C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DIO – POPIS ARKOD PARCELA ZA OPERACIJU 10.1.15. Primjena ekoloških gnojiva u višegodišnjim nasadima</w:t>
            </w:r>
          </w:p>
        </w:tc>
      </w:tr>
      <w:tr w:rsidR="0015696C" w:rsidTr="0015696C">
        <w:trPr>
          <w:jc w:val="center"/>
        </w:trPr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4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15696C" w:rsidRDefault="0015696C" w:rsidP="0015696C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15696C" w:rsidTr="0015696C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DIO – PROVEDENE OBVEZE ZA OPERACIJU 10.1.15. Primjena ekoloških gnojiva u višegodišnjim nasadima</w:t>
            </w:r>
          </w:p>
        </w:tc>
      </w:tr>
    </w:tbl>
    <w:p w:rsidR="0015696C" w:rsidRDefault="0015696C" w:rsidP="0015696C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"/>
        <w:gridCol w:w="2281"/>
        <w:gridCol w:w="2281"/>
        <w:gridCol w:w="2281"/>
        <w:gridCol w:w="2764"/>
      </w:tblGrid>
      <w:tr w:rsidR="0015696C" w:rsidTr="0015696C">
        <w:trPr>
          <w:trHeight w:val="1916"/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Obavljena analiza tla DA NE DATUM:</w:t>
            </w:r>
          </w:p>
          <w:p w:rsidR="0015696C" w:rsidRDefault="001569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Gnojidba (izrada i provedba petogodišnjeg plana gnojidbe – dozvoljena količina dušika iz stajskog gnoja iznosi najviše do 170 kg N/ha) – </w:t>
            </w:r>
            <w:r>
              <w:rPr>
                <w:i/>
                <w:iCs/>
                <w:sz w:val="20"/>
                <w:szCs w:val="20"/>
              </w:rPr>
              <w:t>Tijekom obveznog razdoblja korisnik može ažurirati plan gnojidbe.</w:t>
            </w:r>
          </w:p>
          <w:p w:rsidR="0015696C" w:rsidRDefault="0015696C">
            <w:pPr>
              <w:spacing w:after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Koristiti samo gnojiva koja su odobrena za ekološku proizvodnju u skladu s člankom 24. stavkom 1. točkom (b) Uredbe (EU) Europskog parlamenta i Vijeća 2018/848 i člankom 2. Provedbene uredbe Komisije (EU) 2021/1165, Prilog II.</w:t>
            </w:r>
          </w:p>
        </w:tc>
      </w:tr>
      <w:tr w:rsidR="0015696C" w:rsidTr="0015696C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</w:tr>
      <w:tr w:rsidR="0015696C" w:rsidTr="0015696C">
        <w:trPr>
          <w:jc w:val="center"/>
        </w:trPr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 (ha)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gnojidbe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</w:t>
            </w:r>
          </w:p>
        </w:tc>
        <w:tc>
          <w:tcPr>
            <w:tcW w:w="2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gnojiva, </w:t>
            </w:r>
            <w:proofErr w:type="spellStart"/>
            <w:r>
              <w:rPr>
                <w:sz w:val="20"/>
                <w:szCs w:val="20"/>
              </w:rPr>
              <w:t>poboljšivača</w:t>
            </w:r>
            <w:proofErr w:type="spellEnd"/>
            <w:r>
              <w:rPr>
                <w:sz w:val="20"/>
                <w:szCs w:val="20"/>
              </w:rPr>
              <w:t xml:space="preserve"> tla</w:t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 (ha)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gnojidbe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gnojiva, </w:t>
            </w:r>
            <w:proofErr w:type="spellStart"/>
            <w:r>
              <w:rPr>
                <w:sz w:val="20"/>
                <w:szCs w:val="20"/>
              </w:rPr>
              <w:t>poboljšivača</w:t>
            </w:r>
            <w:proofErr w:type="spellEnd"/>
            <w:r>
              <w:rPr>
                <w:sz w:val="20"/>
                <w:szCs w:val="20"/>
              </w:rPr>
              <w:t xml:space="preserve"> tla</w:t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 (ha)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gnojidbe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gnojiva, </w:t>
            </w:r>
            <w:proofErr w:type="spellStart"/>
            <w:r>
              <w:rPr>
                <w:sz w:val="20"/>
                <w:szCs w:val="20"/>
              </w:rPr>
              <w:t>poboljšivača</w:t>
            </w:r>
            <w:proofErr w:type="spellEnd"/>
            <w:r>
              <w:rPr>
                <w:sz w:val="20"/>
                <w:szCs w:val="20"/>
              </w:rPr>
              <w:t xml:space="preserve"> tla</w:t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 (ha)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gnojidbe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gnojiva, </w:t>
            </w:r>
            <w:proofErr w:type="spellStart"/>
            <w:r>
              <w:rPr>
                <w:sz w:val="20"/>
                <w:szCs w:val="20"/>
              </w:rPr>
              <w:t>poboljšivača</w:t>
            </w:r>
            <w:proofErr w:type="spellEnd"/>
            <w:r>
              <w:rPr>
                <w:sz w:val="20"/>
                <w:szCs w:val="20"/>
              </w:rPr>
              <w:t xml:space="preserve"> tla</w:t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 (ha)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gnojidbe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gnojiva, </w:t>
            </w:r>
            <w:proofErr w:type="spellStart"/>
            <w:r>
              <w:rPr>
                <w:sz w:val="20"/>
                <w:szCs w:val="20"/>
              </w:rPr>
              <w:t>poboljšivača</w:t>
            </w:r>
            <w:proofErr w:type="spellEnd"/>
            <w:r>
              <w:rPr>
                <w:sz w:val="20"/>
                <w:szCs w:val="20"/>
              </w:rPr>
              <w:t xml:space="preserve"> tla</w:t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15696C" w:rsidTr="0015696C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15696C" w:rsidRDefault="0015696C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Napomena: </w:t>
            </w:r>
            <w:r>
              <w:rPr>
                <w:color w:val="231F20"/>
                <w:sz w:val="20"/>
                <w:szCs w:val="20"/>
              </w:rPr>
              <w:t>U slučaju ažuriranja petogodišnjeg plana gnojidbe korisnik isti dostavlja</w:t>
            </w:r>
            <w:r>
              <w:rPr>
                <w:b/>
                <w:bCs/>
                <w:sz w:val="20"/>
                <w:szCs w:val="20"/>
              </w:rPr>
              <w:t xml:space="preserve"> na uvid </w:t>
            </w:r>
            <w:r>
              <w:rPr>
                <w:sz w:val="20"/>
                <w:szCs w:val="20"/>
              </w:rPr>
              <w:t>Agenciji za plaćanje najkasnije do zadnjeg dana roka za zakašnjele zahtjeve iz članka 10. ovoga Pravilnika.</w:t>
            </w:r>
          </w:p>
        </w:tc>
      </w:tr>
    </w:tbl>
    <w:p w:rsidR="000B27C5" w:rsidRPr="006A5C13" w:rsidRDefault="000B27C5" w:rsidP="000B27C5">
      <w:pPr>
        <w:jc w:val="center"/>
      </w:pPr>
      <w:bookmarkStart w:id="0" w:name="_GoBack"/>
      <w:bookmarkEnd w:id="0"/>
    </w:p>
    <w:sectPr w:rsidR="000B27C5" w:rsidRPr="006A5C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7C5"/>
    <w:rsid w:val="000B27C5"/>
    <w:rsid w:val="0015696C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EFC8CE-15B5-4A35-9FDD-A79CA8F0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9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2022-03-07T09:54:00Z</dcterms:created>
  <dcterms:modified xsi:type="dcterms:W3CDTF">2023-03-03T09:34:00Z</dcterms:modified>
</cp:coreProperties>
</file>